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F8" w:rsidRPr="004D3836" w:rsidRDefault="004D3836" w:rsidP="004D3836">
      <w:pPr>
        <w:spacing w:after="200" w:line="360" w:lineRule="auto"/>
        <w:rPr>
          <w:rFonts w:ascii="Arial" w:hAnsi="Arial" w:cs="Arial"/>
          <w:color w:val="000000"/>
          <w:sz w:val="36"/>
          <w:szCs w:val="36"/>
        </w:rPr>
      </w:pPr>
      <w:r>
        <w:rPr>
          <w:rFonts w:ascii="Arial" w:hAnsi="Arial"/>
          <w:sz w:val="36"/>
        </w:rPr>
        <w:t>México: rica cosecha de sal con un Surface Miner 2200 SM de Wirtgen</w:t>
      </w:r>
    </w:p>
    <w:p w:rsidR="004D3836" w:rsidRDefault="004D3836" w:rsidP="004D3836">
      <w:pPr>
        <w:autoSpaceDE w:val="0"/>
        <w:autoSpaceDN w:val="0"/>
        <w:adjustRightInd w:val="0"/>
        <w:spacing w:after="200" w:line="360" w:lineRule="auto"/>
        <w:jc w:val="both"/>
        <w:rPr>
          <w:rFonts w:ascii="Arial" w:eastAsia="Calibri" w:hAnsi="Arial" w:cs="Arial"/>
          <w:sz w:val="22"/>
          <w:szCs w:val="22"/>
        </w:rPr>
      </w:pPr>
      <w:r>
        <w:rPr>
          <w:rFonts w:ascii="Arial" w:hAnsi="Arial"/>
          <w:sz w:val="22"/>
        </w:rPr>
        <w:t>Cerca de la ciudad de Guerrero Negro en la región oeste de México, la empresa Exportadora del Sal S. A. (ESSA) explota unas salinas de grandes extensiones. Cada año el nivel de sal aumenta unos 20 cm. Es necesario extraer esta costra de sal con suma precisión, a fin de poder aprovechar al máximo el material, generar una superficie lisa y llana y evitar que la nueva costra de sal se dañe.</w:t>
      </w:r>
    </w:p>
    <w:p w:rsidR="004D3836" w:rsidRDefault="004D3836" w:rsidP="004D3836">
      <w:pPr>
        <w:autoSpaceDE w:val="0"/>
        <w:autoSpaceDN w:val="0"/>
        <w:adjustRightInd w:val="0"/>
        <w:spacing w:after="200" w:line="360" w:lineRule="auto"/>
        <w:jc w:val="both"/>
        <w:rPr>
          <w:rFonts w:ascii="Arial" w:eastAsia="Calibri" w:hAnsi="Arial" w:cs="Arial"/>
          <w:sz w:val="22"/>
          <w:szCs w:val="22"/>
        </w:rPr>
      </w:pPr>
      <w:r>
        <w:rPr>
          <w:rFonts w:ascii="Arial" w:hAnsi="Arial"/>
          <w:sz w:val="22"/>
        </w:rPr>
        <w:t xml:space="preserve">La máquina Surface Miner 2200 SM de Wirtgen con una profundidad de corte máxima de 25 cm, una anchura de corte de 3,8 m y una potencia de motor de 708 kW/963 CV es ideal para enfrentarse a este desafío. El tambor de corte montado cerca del centro de gravedad del equipo garantiza un perfecto rendimiento de corte y proporciona superficies lisas y estables que permiten el empleo sin dificultados de camiones. A fin de poder ajustar con suma precisión la profundidad de corte y la inclinación transversal, la máquina cuenta con cuatro trenes de orugas con regulación de la altura mediante cilindros hidráulicos. </w:t>
      </w:r>
    </w:p>
    <w:p w:rsidR="004D3836" w:rsidRPr="004D3836" w:rsidRDefault="004D3836" w:rsidP="004D3836">
      <w:pPr>
        <w:autoSpaceDE w:val="0"/>
        <w:autoSpaceDN w:val="0"/>
        <w:adjustRightInd w:val="0"/>
        <w:spacing w:after="200" w:line="360" w:lineRule="auto"/>
        <w:jc w:val="both"/>
        <w:rPr>
          <w:rFonts w:ascii="Arial" w:eastAsia="Calibri" w:hAnsi="Arial" w:cs="Arial"/>
          <w:sz w:val="22"/>
          <w:szCs w:val="22"/>
        </w:rPr>
      </w:pPr>
      <w:r>
        <w:rPr>
          <w:rFonts w:ascii="Arial" w:hAnsi="Arial"/>
          <w:sz w:val="22"/>
        </w:rPr>
        <w:t>El empleo en la práctica demostró rápidamente que, con una profundidad de corte media de 20 cm y una velocidad de trabajo de 15 a 20 m/min, la máquina se utiliza a pleno rendimiento. Desde el año 2012, el 2200 SM sienta nuevas bases en la mina de sal de ESSA. El porcentaje de grano fino del material extraído corresponde exactamente a las exigencias del cliente y, también el rendimiento es impresionante: el 2200 SM extrae una cantidad media de 895 t/h de sal, consumiendo únicamente 0,12 l/t de gasóleo. Esto garantiza una cosecha de sal muy productiva.</w:t>
      </w:r>
    </w:p>
    <w:p w:rsidR="002443B1" w:rsidRDefault="002443B1" w:rsidP="00CA6B00">
      <w:pPr>
        <w:pStyle w:val="Pressetext11pt"/>
        <w:jc w:val="center"/>
        <w:rPr>
          <w:rFonts w:ascii="Arial" w:hAnsi="Arial"/>
        </w:rPr>
      </w:pPr>
      <w:r>
        <w:rPr>
          <w:rFonts w:ascii="Arial" w:hAnsi="Arial"/>
        </w:rPr>
        <w:t>--------</w:t>
      </w:r>
    </w:p>
    <w:p w:rsidR="007043C8" w:rsidRDefault="004D3836" w:rsidP="0054223F">
      <w:pPr>
        <w:pStyle w:val="Pressetext11pt"/>
        <w:rPr>
          <w:rFonts w:ascii="Arial" w:hAnsi="Arial"/>
          <w:b/>
        </w:rPr>
      </w:pPr>
      <w:r>
        <w:br w:type="page"/>
      </w:r>
      <w:r>
        <w:rPr>
          <w:rFonts w:ascii="Arial" w:hAnsi="Arial"/>
          <w:b/>
        </w:rPr>
        <w:lastRenderedPageBreak/>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3E0CF2"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Default="007043C8" w:rsidP="00A027B2">
            <w:pPr>
              <w:rPr>
                <w:rFonts w:ascii="Arial" w:hAnsi="Arial" w:cs="Arial"/>
                <w:sz w:val="22"/>
                <w:szCs w:val="22"/>
              </w:rPr>
            </w:pPr>
            <w:r>
              <w:rPr>
                <w:rFonts w:ascii="Arial" w:hAnsi="Arial"/>
                <w:sz w:val="22"/>
              </w:rPr>
              <w:t xml:space="preserve"> </w:t>
            </w:r>
          </w:p>
          <w:p w:rsidR="00A027B2" w:rsidRPr="000364AA" w:rsidRDefault="00AF0926" w:rsidP="001552CD">
            <w:pPr>
              <w:rPr>
                <w:rFonts w:ascii="Arial" w:hAnsi="Arial" w:cs="Arial"/>
                <w:sz w:val="22"/>
                <w:szCs w:val="22"/>
              </w:rPr>
            </w:pPr>
            <w:r>
              <w:rPr>
                <w:rFonts w:ascii="Arial" w:hAnsi="Arial" w:cs="Arial"/>
                <w:noProof/>
                <w:sz w:val="22"/>
                <w:szCs w:val="22"/>
                <w:lang w:val="de-DE" w:eastAsia="de-DE" w:bidi="ar-SA"/>
              </w:rPr>
              <w:drawing>
                <wp:inline distT="0" distB="0" distL="0" distR="0">
                  <wp:extent cx="1823085" cy="1365885"/>
                  <wp:effectExtent l="0" t="0" r="5715" b="5715"/>
                  <wp:docPr id="1" name="Bild 1" descr="2200SM_00857_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0SM_00857_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3085" cy="136588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7043C8" w:rsidRPr="00E607E9" w:rsidRDefault="007043C8" w:rsidP="00A64075">
            <w:pPr>
              <w:rPr>
                <w:rFonts w:ascii="Arial" w:hAnsi="Arial" w:cs="Arial"/>
                <w:sz w:val="22"/>
                <w:szCs w:val="22"/>
              </w:rPr>
            </w:pPr>
          </w:p>
          <w:p w:rsidR="00B93703" w:rsidRPr="003E0CF2" w:rsidRDefault="004D3836" w:rsidP="00B93703">
            <w:pPr>
              <w:ind w:right="-284"/>
              <w:rPr>
                <w:rFonts w:ascii="Arial" w:hAnsi="Arial" w:cs="Arial"/>
                <w:i/>
                <w:sz w:val="22"/>
                <w:szCs w:val="22"/>
              </w:rPr>
            </w:pPr>
            <w:r>
              <w:rPr>
                <w:rFonts w:ascii="Arial" w:hAnsi="Arial"/>
                <w:i/>
                <w:sz w:val="22"/>
              </w:rPr>
              <w:t>2200SM_00857_PR</w:t>
            </w:r>
          </w:p>
          <w:p w:rsidR="00B93703" w:rsidRDefault="00B93703" w:rsidP="00B93703">
            <w:pPr>
              <w:ind w:right="-284"/>
              <w:rPr>
                <w:rFonts w:ascii="Arial" w:hAnsi="Arial" w:cs="Arial"/>
                <w:sz w:val="22"/>
                <w:szCs w:val="22"/>
              </w:rPr>
            </w:pPr>
          </w:p>
          <w:p w:rsidR="008278B0" w:rsidRDefault="008278B0" w:rsidP="008278B0">
            <w:pPr>
              <w:ind w:right="175"/>
              <w:rPr>
                <w:rFonts w:ascii="Arial" w:hAnsi="Arial" w:cs="Arial"/>
                <w:sz w:val="22"/>
                <w:szCs w:val="22"/>
              </w:rPr>
            </w:pPr>
            <w:r>
              <w:rPr>
                <w:rFonts w:ascii="Arial" w:hAnsi="Arial"/>
                <w:sz w:val="22"/>
              </w:rPr>
              <w:t>La 2200 SM dotada de un grupo de corte con una anchura de 3,8 m coloca la roca salina en hileras, dejándola lista para ser cargada.</w:t>
            </w:r>
          </w:p>
          <w:p w:rsidR="008278B0" w:rsidRPr="003E0CF2" w:rsidRDefault="008278B0" w:rsidP="00B93703">
            <w:pPr>
              <w:ind w:right="-284"/>
              <w:rPr>
                <w:rFonts w:ascii="Arial" w:hAnsi="Arial" w:cs="Arial"/>
                <w:sz w:val="22"/>
                <w:szCs w:val="22"/>
              </w:rPr>
            </w:pPr>
          </w:p>
          <w:p w:rsidR="007043C8" w:rsidRPr="003E0CF2" w:rsidRDefault="007043C8" w:rsidP="00B93703">
            <w:pPr>
              <w:spacing w:line="0" w:lineRule="atLeast"/>
              <w:rPr>
                <w:rFonts w:ascii="Arial" w:hAnsi="Arial" w:cs="Arial"/>
                <w:sz w:val="22"/>
                <w:szCs w:val="22"/>
              </w:rPr>
            </w:pPr>
          </w:p>
        </w:tc>
      </w:tr>
      <w:tr w:rsidR="007043C8" w:rsidRPr="004D3836"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3E0CF2" w:rsidRDefault="007043C8" w:rsidP="00A64075">
            <w:pPr>
              <w:rPr>
                <w:rFonts w:ascii="Arial" w:hAnsi="Arial" w:cs="Arial"/>
              </w:rPr>
            </w:pPr>
          </w:p>
          <w:p w:rsidR="007043C8" w:rsidRPr="00B93703" w:rsidRDefault="00AF0926" w:rsidP="00A64075">
            <w:pPr>
              <w:rPr>
                <w:rFonts w:ascii="Arial" w:hAnsi="Arial" w:cs="Arial"/>
              </w:rPr>
            </w:pPr>
            <w:r>
              <w:rPr>
                <w:rFonts w:ascii="Arial" w:hAnsi="Arial" w:cs="Arial"/>
                <w:noProof/>
                <w:lang w:val="de-DE" w:eastAsia="de-DE" w:bidi="ar-SA"/>
              </w:rPr>
              <w:drawing>
                <wp:inline distT="0" distB="0" distL="0" distR="0">
                  <wp:extent cx="1818005" cy="1217295"/>
                  <wp:effectExtent l="0" t="0" r="0" b="1905"/>
                  <wp:docPr id="2" name="Bild 2" descr="2200SM_00875_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00SM_00875_17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8005" cy="121729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D93DC8" w:rsidRPr="00B93703" w:rsidRDefault="00D93DC8" w:rsidP="00D93DC8">
            <w:pPr>
              <w:rPr>
                <w:rFonts w:ascii="Arial" w:hAnsi="Arial" w:cs="Arial"/>
                <w:i/>
                <w:sz w:val="22"/>
                <w:szCs w:val="22"/>
              </w:rPr>
            </w:pPr>
          </w:p>
          <w:p w:rsidR="004D3836" w:rsidRPr="004D3836" w:rsidRDefault="004D3836" w:rsidP="004D3836">
            <w:pPr>
              <w:ind w:right="-284"/>
              <w:rPr>
                <w:rFonts w:ascii="Arial" w:hAnsi="Arial" w:cs="Arial"/>
                <w:i/>
                <w:sz w:val="22"/>
                <w:szCs w:val="22"/>
              </w:rPr>
            </w:pPr>
            <w:r>
              <w:rPr>
                <w:rFonts w:ascii="Arial" w:hAnsi="Arial"/>
                <w:i/>
                <w:sz w:val="22"/>
              </w:rPr>
              <w:t>2200SM_00875_PR</w:t>
            </w:r>
          </w:p>
          <w:p w:rsidR="00B93703" w:rsidRDefault="00B93703" w:rsidP="00B93703">
            <w:pPr>
              <w:ind w:right="-284"/>
              <w:rPr>
                <w:rFonts w:ascii="Arial" w:hAnsi="Arial" w:cs="Arial"/>
                <w:sz w:val="22"/>
                <w:szCs w:val="22"/>
              </w:rPr>
            </w:pPr>
          </w:p>
          <w:p w:rsidR="007043C8" w:rsidRPr="004D3836" w:rsidRDefault="008278B0" w:rsidP="00693C01">
            <w:pPr>
              <w:ind w:right="175"/>
              <w:rPr>
                <w:rFonts w:ascii="Arial" w:hAnsi="Arial" w:cs="Arial"/>
                <w:sz w:val="22"/>
                <w:szCs w:val="22"/>
              </w:rPr>
            </w:pPr>
            <w:r>
              <w:rPr>
                <w:rFonts w:ascii="Arial" w:hAnsi="Arial"/>
                <w:sz w:val="22"/>
              </w:rPr>
              <w:t xml:space="preserve">Con una superficie de 330 km², la Exportadora de Sal es el campo salino más grande del mundo. La roca salina tiene una resistencia uniaxial a la comprensión de 10 MPa. </w:t>
            </w:r>
          </w:p>
        </w:tc>
      </w:tr>
    </w:tbl>
    <w:p w:rsidR="002443B1" w:rsidRDefault="002443B1" w:rsidP="00791AC5">
      <w:pPr>
        <w:pStyle w:val="Pressetext11pt"/>
        <w:tabs>
          <w:tab w:val="left" w:pos="3686"/>
          <w:tab w:val="left" w:pos="4536"/>
        </w:tabs>
        <w:jc w:val="left"/>
      </w:pPr>
    </w:p>
    <w:p w:rsidR="00DB33B9" w:rsidRPr="00DF2054" w:rsidRDefault="00DB33B9" w:rsidP="00DB33B9">
      <w:pPr>
        <w:pStyle w:val="Pressetext11pt"/>
        <w:rPr>
          <w:rFonts w:ascii="Arial" w:hAnsi="Arial"/>
          <w:b/>
        </w:rPr>
      </w:pPr>
      <w:r w:rsidRPr="00DF2054">
        <w:rPr>
          <w:rFonts w:ascii="Arial" w:hAnsi="Arial"/>
          <w:b/>
        </w:rPr>
        <w:t>Si desea información más detallada, diríjase a:</w:t>
      </w:r>
    </w:p>
    <w:p w:rsidR="00DB33B9" w:rsidRPr="00DF2054" w:rsidRDefault="00DB33B9" w:rsidP="00DB33B9">
      <w:pPr>
        <w:tabs>
          <w:tab w:val="left" w:pos="3686"/>
          <w:tab w:val="left" w:pos="4536"/>
        </w:tabs>
        <w:spacing w:after="240" w:line="360" w:lineRule="auto"/>
        <w:rPr>
          <w:rFonts w:ascii="Arial" w:eastAsia="Times" w:hAnsi="Arial"/>
          <w:sz w:val="22"/>
        </w:rPr>
      </w:pPr>
      <w:r w:rsidRPr="00DF2054">
        <w:rPr>
          <w:rFonts w:ascii="Arial" w:hAnsi="Arial"/>
        </w:rPr>
        <w:t>Wirtgen GmbH</w:t>
      </w:r>
      <w:r w:rsidRPr="00DF2054">
        <w:rPr>
          <w:rFonts w:ascii="Arial" w:hAnsi="Arial"/>
        </w:rPr>
        <w:tab/>
      </w:r>
      <w:r w:rsidRPr="00DF2054">
        <w:br/>
      </w:r>
      <w:r w:rsidRPr="00DF2054">
        <w:rPr>
          <w:rFonts w:ascii="Arial" w:hAnsi="Arial"/>
          <w:sz w:val="22"/>
        </w:rPr>
        <w:t>Prensa y relaciones públicas</w:t>
      </w:r>
      <w:r w:rsidRPr="00DF2054">
        <w:br/>
      </w:r>
      <w:r w:rsidRPr="00DF2054">
        <w:rPr>
          <w:rFonts w:ascii="Arial" w:hAnsi="Arial"/>
          <w:sz w:val="22"/>
        </w:rPr>
        <w:t>Michaela Adams, Mario Linnemann</w:t>
      </w:r>
      <w:r w:rsidRPr="00DF2054">
        <w:rPr>
          <w:rFonts w:ascii="Arial" w:hAnsi="Arial"/>
          <w:sz w:val="22"/>
        </w:rPr>
        <w:tab/>
      </w:r>
      <w:r w:rsidRPr="00DF2054">
        <w:br/>
      </w:r>
      <w:r w:rsidRPr="00DF2054">
        <w:rPr>
          <w:rFonts w:ascii="Arial" w:hAnsi="Arial"/>
          <w:sz w:val="22"/>
        </w:rPr>
        <w:t>Reinhard-Wirtgen-Str</w:t>
      </w:r>
      <w:r>
        <w:rPr>
          <w:rFonts w:ascii="Arial" w:hAnsi="Arial"/>
          <w:sz w:val="22"/>
        </w:rPr>
        <w:t>asse</w:t>
      </w:r>
      <w:r w:rsidRPr="00DF2054">
        <w:rPr>
          <w:rFonts w:ascii="Arial" w:hAnsi="Arial"/>
          <w:sz w:val="22"/>
        </w:rPr>
        <w:t xml:space="preserve"> 2</w:t>
      </w:r>
      <w:r w:rsidRPr="00DF2054">
        <w:rPr>
          <w:rFonts w:ascii="Arial" w:hAnsi="Arial"/>
          <w:sz w:val="22"/>
        </w:rPr>
        <w:tab/>
      </w:r>
      <w:r w:rsidRPr="00DF2054">
        <w:br/>
      </w:r>
      <w:r w:rsidRPr="00DF2054">
        <w:rPr>
          <w:rFonts w:ascii="Arial" w:hAnsi="Arial"/>
          <w:sz w:val="22"/>
        </w:rPr>
        <w:t>D-53578 Windhagen</w:t>
      </w:r>
      <w:r w:rsidRPr="00DF2054">
        <w:rPr>
          <w:rFonts w:ascii="Arial" w:hAnsi="Arial"/>
          <w:sz w:val="22"/>
        </w:rPr>
        <w:tab/>
      </w:r>
      <w:r w:rsidRPr="00DF2054">
        <w:br/>
      </w:r>
      <w:r w:rsidRPr="00DF2054">
        <w:rPr>
          <w:rFonts w:ascii="Arial" w:hAnsi="Arial"/>
          <w:sz w:val="22"/>
        </w:rPr>
        <w:t>Alemania</w:t>
      </w:r>
      <w:r w:rsidRPr="00DF2054">
        <w:rPr>
          <w:rFonts w:ascii="Arial" w:hAnsi="Arial"/>
          <w:sz w:val="22"/>
        </w:rPr>
        <w:tab/>
      </w:r>
    </w:p>
    <w:p w:rsidR="00DB33B9" w:rsidRPr="00DF2054" w:rsidRDefault="00DB33B9" w:rsidP="00DB33B9">
      <w:pPr>
        <w:spacing w:line="360" w:lineRule="auto"/>
        <w:rPr>
          <w:rFonts w:ascii="Arial" w:hAnsi="Arial"/>
          <w:sz w:val="22"/>
          <w:szCs w:val="22"/>
        </w:rPr>
      </w:pPr>
      <w:r w:rsidRPr="00DF2054">
        <w:rPr>
          <w:rFonts w:ascii="Arial" w:hAnsi="Arial"/>
          <w:sz w:val="22"/>
        </w:rPr>
        <w:t>Te</w:t>
      </w:r>
      <w:r>
        <w:rPr>
          <w:rFonts w:ascii="Arial" w:hAnsi="Arial"/>
          <w:sz w:val="22"/>
        </w:rPr>
        <w:t>léfono: +49 – 26 45 – 1 31 – 0</w:t>
      </w:r>
      <w:r w:rsidRPr="00DF2054">
        <w:rPr>
          <w:rFonts w:ascii="Arial" w:hAnsi="Arial"/>
          <w:sz w:val="22"/>
        </w:rPr>
        <w:tab/>
      </w:r>
      <w:r w:rsidRPr="00DF2054">
        <w:br/>
      </w:r>
      <w:r w:rsidRPr="00DF2054">
        <w:rPr>
          <w:rFonts w:ascii="Arial" w:hAnsi="Arial"/>
          <w:sz w:val="22"/>
        </w:rPr>
        <w:t>Fax: +49 - 26 45 - 1 31 - 4 99</w:t>
      </w:r>
      <w:r w:rsidRPr="00DF2054">
        <w:rPr>
          <w:rFonts w:ascii="Arial" w:hAnsi="Arial"/>
          <w:sz w:val="22"/>
        </w:rPr>
        <w:tab/>
      </w:r>
      <w:bookmarkStart w:id="0" w:name="_GoBack"/>
      <w:bookmarkEnd w:id="0"/>
      <w:r w:rsidRPr="00DF2054">
        <w:br/>
      </w:r>
      <w:r w:rsidRPr="00DF2054">
        <w:rPr>
          <w:rFonts w:ascii="Arial" w:hAnsi="Arial"/>
          <w:sz w:val="22"/>
        </w:rPr>
        <w:t>Correo electrónico:</w:t>
      </w:r>
      <w:bookmarkStart w:id="1" w:name="_Hlt82485847"/>
      <w:r w:rsidRPr="00DF2054">
        <w:rPr>
          <w:rFonts w:ascii="Arial" w:hAnsi="Arial"/>
          <w:sz w:val="22"/>
        </w:rPr>
        <w:t xml:space="preserve"> </w:t>
      </w:r>
      <w:hyperlink r:id="rId10" w:history="1">
        <w:r w:rsidRPr="00DF2054">
          <w:rPr>
            <w:rFonts w:ascii="Arial" w:hAnsi="Arial"/>
            <w:color w:val="0000FF"/>
            <w:sz w:val="22"/>
            <w:u w:val="single"/>
          </w:rPr>
          <w:t>presse@wirtgen.com</w:t>
        </w:r>
      </w:hyperlink>
      <w:bookmarkEnd w:id="1"/>
    </w:p>
    <w:p w:rsidR="00DB33B9" w:rsidRPr="0089186F" w:rsidRDefault="00DB33B9" w:rsidP="00DB33B9">
      <w:pPr>
        <w:spacing w:line="360" w:lineRule="auto"/>
      </w:pPr>
      <w:r w:rsidRPr="00DF2054">
        <w:rPr>
          <w:rFonts w:ascii="Arial" w:hAnsi="Arial"/>
          <w:snapToGrid w:val="0"/>
          <w:sz w:val="22"/>
        </w:rPr>
        <w:t>Internet:www.wirtgen.com</w:t>
      </w:r>
    </w:p>
    <w:sectPr w:rsidR="00DB33B9" w:rsidRPr="0089186F" w:rsidSect="00CA4227">
      <w:headerReference w:type="default" r:id="rId11"/>
      <w:footerReference w:type="default" r:id="rId12"/>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824" w:rsidRDefault="00501824">
      <w:r>
        <w:separator/>
      </w:r>
    </w:p>
  </w:endnote>
  <w:endnote w:type="continuationSeparator" w:id="0">
    <w:p w:rsidR="00501824" w:rsidRDefault="0050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charset w:val="00"/>
    <w:family w:val="auto"/>
    <w:pitch w:val="variable"/>
  </w:font>
  <w:font w:name="Times">
    <w:panose1 w:val="02020603050405020304"/>
    <w:charset w:val="00"/>
    <w:family w:val="roman"/>
    <w:pitch w:val="variable"/>
    <w:sig w:usb0="E0002AFF" w:usb1="C0007841" w:usb2="00000009" w:usb3="00000000" w:csb0="000001FF" w:csb1="00000000"/>
  </w:font>
  <w:font w:name="65 Helvetica Medium">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página </w:t>
    </w:r>
    <w:r w:rsidR="005A5872"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5A5872" w:rsidRPr="006369B1">
      <w:rPr>
        <w:rFonts w:ascii="Arial" w:hAnsi="Arial"/>
      </w:rPr>
      <w:fldChar w:fldCharType="separate"/>
    </w:r>
    <w:r w:rsidR="00DB33B9">
      <w:rPr>
        <w:rFonts w:ascii="Arial" w:hAnsi="Arial"/>
        <w:noProof/>
      </w:rPr>
      <w:t>2</w:t>
    </w:r>
    <w:r w:rsidR="005A5872" w:rsidRPr="006369B1">
      <w:rPr>
        <w:rFonts w:ascii="Arial" w:hAnsi="Arial"/>
      </w:rPr>
      <w:fldChar w:fldCharType="end"/>
    </w:r>
    <w:r>
      <w:rPr>
        <w:rFonts w:ascii="Arial" w:hAnsi="Arial"/>
      </w:rPr>
      <w:t xml:space="preserve"> von / de </w:t>
    </w:r>
    <w:r w:rsidR="005A5872"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5A5872" w:rsidRPr="006369B1">
      <w:rPr>
        <w:rFonts w:ascii="Arial" w:hAnsi="Arial"/>
      </w:rPr>
      <w:fldChar w:fldCharType="separate"/>
    </w:r>
    <w:r w:rsidR="00DB33B9">
      <w:rPr>
        <w:rFonts w:ascii="Arial" w:hAnsi="Arial"/>
        <w:noProof/>
      </w:rPr>
      <w:t>3</w:t>
    </w:r>
    <w:r w:rsidR="005A5872"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824" w:rsidRDefault="00501824">
      <w:r>
        <w:separator/>
      </w:r>
    </w:p>
  </w:footnote>
  <w:footnote w:type="continuationSeparator" w:id="0">
    <w:p w:rsidR="00501824" w:rsidRDefault="00501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AF0926" w:rsidP="008B022E">
    <w:pPr>
      <w:pStyle w:val="Kopfzeile"/>
      <w:ind w:left="-1985"/>
    </w:pPr>
    <w:r>
      <w:rPr>
        <w:noProof/>
        <w:lang w:val="de-DE" w:eastAsia="de-DE" w:bidi="ar-SA"/>
      </w:rPr>
      <w:drawing>
        <wp:inline distT="0" distB="0" distL="0" distR="0">
          <wp:extent cx="7557770" cy="2247265"/>
          <wp:effectExtent l="0" t="0" r="5080" b="635"/>
          <wp:docPr id="3" name="Bild 3"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ese_Gmb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770" cy="22472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B1B58"/>
    <w:rsid w:val="00020B1D"/>
    <w:rsid w:val="000364AA"/>
    <w:rsid w:val="00043B28"/>
    <w:rsid w:val="00055B83"/>
    <w:rsid w:val="00062B32"/>
    <w:rsid w:val="000635EC"/>
    <w:rsid w:val="00080ECA"/>
    <w:rsid w:val="00080ED6"/>
    <w:rsid w:val="000D37C2"/>
    <w:rsid w:val="000D5571"/>
    <w:rsid w:val="00100EC6"/>
    <w:rsid w:val="00116096"/>
    <w:rsid w:val="00140DBF"/>
    <w:rsid w:val="001552CD"/>
    <w:rsid w:val="00166D40"/>
    <w:rsid w:val="00196ED2"/>
    <w:rsid w:val="001A5918"/>
    <w:rsid w:val="001B20F7"/>
    <w:rsid w:val="001B36A4"/>
    <w:rsid w:val="001E2855"/>
    <w:rsid w:val="001F7032"/>
    <w:rsid w:val="00215487"/>
    <w:rsid w:val="00217A4E"/>
    <w:rsid w:val="00224F98"/>
    <w:rsid w:val="00232FB4"/>
    <w:rsid w:val="0024399D"/>
    <w:rsid w:val="002443B1"/>
    <w:rsid w:val="00296AE1"/>
    <w:rsid w:val="002B46F8"/>
    <w:rsid w:val="002D5D0C"/>
    <w:rsid w:val="0032251B"/>
    <w:rsid w:val="00346FC8"/>
    <w:rsid w:val="00351E15"/>
    <w:rsid w:val="00386954"/>
    <w:rsid w:val="003E0CF2"/>
    <w:rsid w:val="00424D0B"/>
    <w:rsid w:val="00425691"/>
    <w:rsid w:val="00425DC8"/>
    <w:rsid w:val="00435069"/>
    <w:rsid w:val="0045470E"/>
    <w:rsid w:val="00460D00"/>
    <w:rsid w:val="0047776D"/>
    <w:rsid w:val="0049737C"/>
    <w:rsid w:val="004A2D0D"/>
    <w:rsid w:val="004A5688"/>
    <w:rsid w:val="004B6D0F"/>
    <w:rsid w:val="004D03C7"/>
    <w:rsid w:val="004D3836"/>
    <w:rsid w:val="004D46E4"/>
    <w:rsid w:val="004E0E74"/>
    <w:rsid w:val="00501463"/>
    <w:rsid w:val="00501824"/>
    <w:rsid w:val="005024CB"/>
    <w:rsid w:val="00512644"/>
    <w:rsid w:val="005135CF"/>
    <w:rsid w:val="00530DED"/>
    <w:rsid w:val="0054223F"/>
    <w:rsid w:val="00542ED3"/>
    <w:rsid w:val="00563951"/>
    <w:rsid w:val="005A5872"/>
    <w:rsid w:val="005B1B58"/>
    <w:rsid w:val="005B1BD3"/>
    <w:rsid w:val="005C0AB9"/>
    <w:rsid w:val="00630F05"/>
    <w:rsid w:val="00635235"/>
    <w:rsid w:val="00651A29"/>
    <w:rsid w:val="00675726"/>
    <w:rsid w:val="006847D8"/>
    <w:rsid w:val="00692D67"/>
    <w:rsid w:val="00693C01"/>
    <w:rsid w:val="006D10F1"/>
    <w:rsid w:val="006D4063"/>
    <w:rsid w:val="00701268"/>
    <w:rsid w:val="007039F6"/>
    <w:rsid w:val="007043C8"/>
    <w:rsid w:val="00712068"/>
    <w:rsid w:val="00736C7F"/>
    <w:rsid w:val="00742C8E"/>
    <w:rsid w:val="00743BD2"/>
    <w:rsid w:val="007565CC"/>
    <w:rsid w:val="00791AC5"/>
    <w:rsid w:val="007D15DF"/>
    <w:rsid w:val="008007A9"/>
    <w:rsid w:val="008147FB"/>
    <w:rsid w:val="008278B0"/>
    <w:rsid w:val="008349B4"/>
    <w:rsid w:val="00844035"/>
    <w:rsid w:val="00860DDD"/>
    <w:rsid w:val="00883028"/>
    <w:rsid w:val="0089186F"/>
    <w:rsid w:val="00895F4D"/>
    <w:rsid w:val="008A0637"/>
    <w:rsid w:val="008A26C2"/>
    <w:rsid w:val="008A6336"/>
    <w:rsid w:val="008B022E"/>
    <w:rsid w:val="008D57B2"/>
    <w:rsid w:val="008F5971"/>
    <w:rsid w:val="00906988"/>
    <w:rsid w:val="0095150C"/>
    <w:rsid w:val="00964541"/>
    <w:rsid w:val="00981357"/>
    <w:rsid w:val="00992ACC"/>
    <w:rsid w:val="00997166"/>
    <w:rsid w:val="009A5D0F"/>
    <w:rsid w:val="009B3D8A"/>
    <w:rsid w:val="009C14AD"/>
    <w:rsid w:val="009C1BF3"/>
    <w:rsid w:val="009E716E"/>
    <w:rsid w:val="009F7299"/>
    <w:rsid w:val="00A027B2"/>
    <w:rsid w:val="00A2427D"/>
    <w:rsid w:val="00A45F88"/>
    <w:rsid w:val="00A51FF0"/>
    <w:rsid w:val="00A64075"/>
    <w:rsid w:val="00A66B97"/>
    <w:rsid w:val="00A71578"/>
    <w:rsid w:val="00A841B8"/>
    <w:rsid w:val="00A87FF8"/>
    <w:rsid w:val="00AA329D"/>
    <w:rsid w:val="00AB4B2C"/>
    <w:rsid w:val="00AB7BF2"/>
    <w:rsid w:val="00AE3266"/>
    <w:rsid w:val="00AE3F92"/>
    <w:rsid w:val="00AE5D05"/>
    <w:rsid w:val="00AF0926"/>
    <w:rsid w:val="00AF4F16"/>
    <w:rsid w:val="00B41740"/>
    <w:rsid w:val="00B4346E"/>
    <w:rsid w:val="00B6140F"/>
    <w:rsid w:val="00B70EFE"/>
    <w:rsid w:val="00B868CA"/>
    <w:rsid w:val="00B93703"/>
    <w:rsid w:val="00B95CC6"/>
    <w:rsid w:val="00BA4723"/>
    <w:rsid w:val="00BB1C68"/>
    <w:rsid w:val="00BB5D55"/>
    <w:rsid w:val="00BE4C1A"/>
    <w:rsid w:val="00BF79E6"/>
    <w:rsid w:val="00C013D8"/>
    <w:rsid w:val="00C23DA5"/>
    <w:rsid w:val="00C275FD"/>
    <w:rsid w:val="00C31DD7"/>
    <w:rsid w:val="00C564B7"/>
    <w:rsid w:val="00C67501"/>
    <w:rsid w:val="00C858EF"/>
    <w:rsid w:val="00C87AF9"/>
    <w:rsid w:val="00CA4227"/>
    <w:rsid w:val="00CA5283"/>
    <w:rsid w:val="00CA5DB0"/>
    <w:rsid w:val="00CA6B00"/>
    <w:rsid w:val="00CB4599"/>
    <w:rsid w:val="00CC4D15"/>
    <w:rsid w:val="00CD758C"/>
    <w:rsid w:val="00D034A3"/>
    <w:rsid w:val="00D270B2"/>
    <w:rsid w:val="00D4504D"/>
    <w:rsid w:val="00D46EAF"/>
    <w:rsid w:val="00D50DE6"/>
    <w:rsid w:val="00D66A62"/>
    <w:rsid w:val="00D777C9"/>
    <w:rsid w:val="00D82AFC"/>
    <w:rsid w:val="00D93053"/>
    <w:rsid w:val="00D93DC8"/>
    <w:rsid w:val="00DA5203"/>
    <w:rsid w:val="00DB33B9"/>
    <w:rsid w:val="00DC0D59"/>
    <w:rsid w:val="00DD4DD4"/>
    <w:rsid w:val="00DD7BDF"/>
    <w:rsid w:val="00DE046C"/>
    <w:rsid w:val="00DF0ADC"/>
    <w:rsid w:val="00DF3F52"/>
    <w:rsid w:val="00E002A6"/>
    <w:rsid w:val="00E026D1"/>
    <w:rsid w:val="00E20CF0"/>
    <w:rsid w:val="00E23BEF"/>
    <w:rsid w:val="00E456AF"/>
    <w:rsid w:val="00E46532"/>
    <w:rsid w:val="00E617ED"/>
    <w:rsid w:val="00E62E94"/>
    <w:rsid w:val="00E62F17"/>
    <w:rsid w:val="00E63741"/>
    <w:rsid w:val="00E72AAD"/>
    <w:rsid w:val="00E75727"/>
    <w:rsid w:val="00EA7B76"/>
    <w:rsid w:val="00EE1E31"/>
    <w:rsid w:val="00EE7A25"/>
    <w:rsid w:val="00F14B28"/>
    <w:rsid w:val="00F23D89"/>
    <w:rsid w:val="00F2582D"/>
    <w:rsid w:val="00F31A4C"/>
    <w:rsid w:val="00F40E51"/>
    <w:rsid w:val="00F50B7E"/>
    <w:rsid w:val="00F552F6"/>
    <w:rsid w:val="00F57E09"/>
    <w:rsid w:val="00F57F8D"/>
    <w:rsid w:val="00F7429A"/>
    <w:rsid w:val="00F967BC"/>
    <w:rsid w:val="00FD6DD8"/>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5872"/>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906988"/>
    <w:rPr>
      <w:rFonts w:ascii="Tahoma" w:hAnsi="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e@wirtgen.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2343</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Kisten Steffens</dc:creator>
  <cp:lastModifiedBy>Schüler Angelika</cp:lastModifiedBy>
  <cp:revision>3</cp:revision>
  <cp:lastPrinted>2014-04-25T13:50:00Z</cp:lastPrinted>
  <dcterms:created xsi:type="dcterms:W3CDTF">2015-05-12T10:47:00Z</dcterms:created>
  <dcterms:modified xsi:type="dcterms:W3CDTF">2015-05-12T13:52:00Z</dcterms:modified>
</cp:coreProperties>
</file>